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D01" w:rsidRDefault="00810D01">
      <w:pPr>
        <w:rPr>
          <w:rFonts w:ascii="Times New Roman" w:hAnsi="Times New Roman" w:cs="Times New Roman"/>
          <w:sz w:val="20"/>
          <w:szCs w:val="20"/>
        </w:rPr>
      </w:pPr>
      <w:r w:rsidRPr="00CB6D25">
        <w:rPr>
          <w:rFonts w:ascii="Times New Roman" w:hAnsi="Times New Roman" w:cs="Times New Roman"/>
          <w:sz w:val="20"/>
          <w:szCs w:val="20"/>
        </w:rPr>
        <w:t>QOL= Quality of life; ESRD=End stage renal disease; CBT=Cognitive Behavioral Therapy; MI=Motivational interviewing; ACT=Acceptance and commitment therapy</w:t>
      </w:r>
      <w:r>
        <w:rPr>
          <w:rFonts w:ascii="Times New Roman" w:hAnsi="Times New Roman" w:cs="Times New Roman"/>
          <w:sz w:val="20"/>
          <w:szCs w:val="20"/>
        </w:rPr>
        <w:t>; RRT=Renal replacement therapy; KT=Kidney transplant; CMM=Conservative medical management; LOC=Locus of control</w:t>
      </w:r>
      <w:r w:rsidR="00CB0098">
        <w:rPr>
          <w:rFonts w:ascii="Times New Roman" w:hAnsi="Times New Roman" w:cs="Times New Roman"/>
          <w:sz w:val="20"/>
          <w:szCs w:val="20"/>
        </w:rPr>
        <w:t>; SES=Socioeconomic Status</w:t>
      </w:r>
    </w:p>
    <w:tbl>
      <w:tblPr>
        <w:tblStyle w:val="TableGrid"/>
        <w:tblpPr w:leftFromText="180" w:rightFromText="180" w:horzAnchor="margin" w:tblpY="756"/>
        <w:tblW w:w="9320" w:type="dxa"/>
        <w:tblLayout w:type="fixed"/>
        <w:tblLook w:val="04A0" w:firstRow="1" w:lastRow="0" w:firstColumn="1" w:lastColumn="0" w:noHBand="0" w:noVBand="1"/>
      </w:tblPr>
      <w:tblGrid>
        <w:gridCol w:w="1850"/>
        <w:gridCol w:w="7470"/>
      </w:tblGrid>
      <w:tr w:rsidR="00810D01" w:rsidRPr="004A2BFE" w:rsidTr="00922281">
        <w:tc>
          <w:tcPr>
            <w:tcW w:w="1850" w:type="dxa"/>
            <w:shd w:val="clear" w:color="auto" w:fill="FFF2CC" w:themeFill="accent4" w:themeFillTint="33"/>
          </w:tcPr>
          <w:p w:rsidR="00810D01" w:rsidRPr="004A2BFE" w:rsidRDefault="00810D01" w:rsidP="00922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B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REFERENCES</w:t>
            </w:r>
          </w:p>
        </w:tc>
        <w:tc>
          <w:tcPr>
            <w:tcW w:w="7470" w:type="dxa"/>
            <w:shd w:val="clear" w:color="auto" w:fill="FFF2CC" w:themeFill="accent4" w:themeFillTint="33"/>
          </w:tcPr>
          <w:p w:rsidR="00810D01" w:rsidRPr="004A2BFE" w:rsidRDefault="00810D01" w:rsidP="009222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B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GENERAL THERAPY STRATEGIES FOR RENAL PATIENTS</w:t>
            </w:r>
          </w:p>
        </w:tc>
      </w:tr>
      <w:tr w:rsidR="00810D01" w:rsidRPr="004A2BFE" w:rsidTr="00922281">
        <w:tc>
          <w:tcPr>
            <w:tcW w:w="1850" w:type="dxa"/>
            <w:shd w:val="clear" w:color="auto" w:fill="E2EFD9" w:themeFill="accent6" w:themeFillTint="33"/>
          </w:tcPr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Zimbrean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(2019) 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Cove (2015)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O’Connor &amp;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Kirtley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(2018) 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Puttarajappa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Tulloch et al. (2022) Russell et al. (2011) Garcia-Llana et al. (2013)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Chan et al. (2009)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Style w:val="url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Moran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Kaltsouda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Fennell (2003)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Schmajuk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Wen et al. (2020)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Natale et al. (2019)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Cukor et al. (2006)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 &amp; Li et al. (2016)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Ng et al. (2019) Chopra et al. (2021)</w:t>
            </w:r>
          </w:p>
        </w:tc>
        <w:tc>
          <w:tcPr>
            <w:tcW w:w="7470" w:type="dxa"/>
            <w:shd w:val="clear" w:color="auto" w:fill="E2EFD9" w:themeFill="accent6" w:themeFillTint="33"/>
          </w:tcPr>
          <w:p w:rsidR="00810D01" w:rsidRPr="004F6E1F" w:rsidRDefault="00810D01" w:rsidP="0092228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-Assess pre-diagnostic high risk factors (e.g. pre-diagnostic mental health, cultural factors, financial resources) and protective factors </w:t>
            </w:r>
            <w:r w:rsidRPr="004F6E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*see below*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-Assess and illuminate defensive depression (numb emotions for protection)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-Assess and illuminate high use of defensive coping (emotional inhibition, denial, suppression, avoidance, devaluation of symptoms, nonadherence)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-Prepare patients for crisis time-points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-Transtheoretical model to assess change readiness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-MI to decrease ambivalence, move more quickly through stages of change, improve treatment compliance, reduce suicide risk, anxiety, depression; increase QoL in pre-dialysis patient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-CBT for treating cognitive distortions; improve illness perceptions; treat illness associated anxiety, depression, insomnia; improve communication with treatment team; reduced anxiety and increased self-efficacy and QoL in dialysis patients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-Supportive and psychodynamic therapy for increasing patient resilience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-Dignity therapy when a patient nears end-of-life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-Existential therapy for meaning-making, note developmental stage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-ACT for managing physical symptoms, processing stages of grief, accepting suffering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-Physical exercise to treat depression, anxiety, improve QoL in ESRD patients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-Refer for neuropsychological and cognitive testing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-Help patients process loss as mediating factor for depression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-Identify, treat chronic illness &amp; Iatrogenic (healthcare associated) induced trauma</w:t>
            </w:r>
            <w:r w:rsidRPr="004A2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10D01" w:rsidRPr="004A2BFE" w:rsidTr="00922281">
        <w:tc>
          <w:tcPr>
            <w:tcW w:w="1850" w:type="dxa"/>
            <w:shd w:val="clear" w:color="auto" w:fill="FFF2CC" w:themeFill="accent4" w:themeFillTint="33"/>
          </w:tcPr>
          <w:p w:rsidR="00810D01" w:rsidRPr="004A2BFE" w:rsidRDefault="00810D01" w:rsidP="0092228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shd w:val="clear" w:color="auto" w:fill="FFF2CC" w:themeFill="accent4" w:themeFillTint="33"/>
          </w:tcPr>
          <w:p w:rsidR="00810D01" w:rsidRPr="004A2BFE" w:rsidRDefault="00810D01" w:rsidP="0092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2B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PROTECTIVE FACTORS FOR RENAL PATIENTS</w:t>
            </w:r>
          </w:p>
        </w:tc>
      </w:tr>
      <w:tr w:rsidR="00810D01" w:rsidRPr="004A2BFE" w:rsidTr="00922281">
        <w:tc>
          <w:tcPr>
            <w:tcW w:w="1850" w:type="dxa"/>
            <w:shd w:val="clear" w:color="auto" w:fill="E2EFD9" w:themeFill="accent6" w:themeFillTint="33"/>
          </w:tcPr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Turner (2000)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Stanton, et al. (2007) Stanton &amp; Hoyt (2007)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Chan et al. (2009)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Kaltsouda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Cove (2015) 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Moss-Morris (2013)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Zimbrean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Santos (2010)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Kalantar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-Zadeh et al. (2001)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Fennell (2003)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 Ridder et al. (2008)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Moos &amp;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Holahan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(2007)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Taylor et al. (1991)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Pellizzari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(2022)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Schulman‐Green et al. (2012)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Fife (1995)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 et al. (2022)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Kulikowski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(2022)</w:t>
            </w:r>
          </w:p>
          <w:p w:rsidR="00810D01" w:rsidRPr="004F6E1F" w:rsidRDefault="00810D01" w:rsidP="00922281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</w:pPr>
            <w:r w:rsidRPr="004F6E1F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Cukor et al.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Photharos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(2018)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Barberis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Khodarhimi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Kim et al. (2020)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Calia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(2008)   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Roberti et al. (2018)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Stavropoulou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(2020)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Poppe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(2013)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Hayes et al. (2011)</w:t>
            </w:r>
          </w:p>
          <w:p w:rsidR="00810D01" w:rsidRPr="004F6E1F" w:rsidRDefault="00810D01" w:rsidP="00922281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</w:pPr>
            <w:r w:rsidRPr="004F6E1F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Iida et al. (2020)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Levenson &amp;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Olbrisch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(1987)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Lewis (1998)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Lazarus &amp; Folkman (1984)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Knowles et al. (2014)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Koller (2023)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Lahijani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(2019) </w:t>
            </w: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Yinusa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(2022)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Nicholas et al. (2015) Crews et al. (2014)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Nair et al.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Choi et al. (2019)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Gregory et al. (2022)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White et al. (2002)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Tong et al. (2009)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Zimbrean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et al. (2017)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Weisbord et al. (2007)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Kalantar</w:t>
            </w:r>
            <w:proofErr w:type="spellEnd"/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-Zadeh et al. (2001)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Knight et al. (2003) Lockwood et al. (2021)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2B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Weisbord et al. (2014)</w:t>
            </w:r>
          </w:p>
        </w:tc>
        <w:tc>
          <w:tcPr>
            <w:tcW w:w="7470" w:type="dxa"/>
            <w:shd w:val="clear" w:color="auto" w:fill="E2EFD9" w:themeFill="accent6" w:themeFillTint="33"/>
          </w:tcPr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lastRenderedPageBreak/>
              <w:t>FOUNDATIONAL FACTORS/BEHAVIORS: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-Absence of unresolved anger or grief from the past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-Not using substances and alcohol to regulate emotions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-The absence of a pre-existing psychological condition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-Strong pre-diagnostic physical and psychological health history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-Being physically active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-Pursuing positive meaning in life (dialysis patients)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INDIVIDUAL FACTORS:</w:t>
            </w: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-Reality-based expectations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decision-making capacity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ability to problem-solve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positive emotionality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quality of life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-Perceptions of low stress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-Low neuroticism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-Having hope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-Reaching acceptance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PSYCHOLOGICAL SKILLS: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internal LOC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-Willingness to process loss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-Moderate use of defensive coping (high defensiveness = lower mental health)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-Adaptive coping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-Adaptive use of anxiety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-Strong emotional regulation skills, emotional Intelligence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-Healthy expressions of emotions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-Strong self-observation skills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meaning-making capacity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-Low death anxiety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-Psychological flexibility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-Use of coping strategies that are solution-focused, meaning-making, benefit-finding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-Strong conflict-management skills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adaptability tolerance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uncertainty tolerance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tolerance for ambiguity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-High tolerance for chronicity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ILLNESS BEHAVIORS/PERCEPTIONS: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-Strong self-management skills and illness-management self-efficacy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engagement in health endorsing behaviors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illness knowledge and health literacy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-Illness perception of control or vicarious control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illness accommodation (lifestyle, dietary, fluid)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-Positive health beliefs and illness representations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-Treatment compliance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-Accepting dialysis therapy as a part of daily life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-Frequent follow up visits and nephrologist contact (patients on dialysis waitlist) 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-Seeing illness as challenge, not threat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-Focus on potential positive outcomes of illness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-Low pain perception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SOCIAL FACTORS: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-Healthy and adaptive social supports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-Perceived social support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-Psychological support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-Ability to delegate tasks and ask for help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-Confidence to ask for help, ask questions, communicate, access information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-Strong working relationships with healthcare providers, high patient-doctor trust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-Superior family functioning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-Effective communication skills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-Willingness to live through meaningful relationships (dialysis patients)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SYSTEMIC FACTORS: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-Low Iatrogenic trauma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SES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education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-Being White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ILLNESS FACTORS: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-No adverse post-KT side-effect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-No adverse post-KT events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-Slower disease progression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-Low illness imminence</w:t>
            </w:r>
          </w:p>
          <w:p w:rsidR="00810D01" w:rsidRPr="004F6E1F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-High illness predictability</w:t>
            </w:r>
          </w:p>
          <w:p w:rsidR="00810D01" w:rsidRPr="004A2BFE" w:rsidRDefault="00810D01" w:rsidP="009222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E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-Low levels of illness uncertainty</w:t>
            </w:r>
          </w:p>
        </w:tc>
      </w:tr>
    </w:tbl>
    <w:p w:rsidR="00810D01" w:rsidRDefault="00810D01">
      <w:pPr>
        <w:rPr>
          <w:rFonts w:ascii="Times New Roman" w:hAnsi="Times New Roman" w:cs="Times New Roman"/>
          <w:sz w:val="20"/>
          <w:szCs w:val="20"/>
        </w:rPr>
      </w:pPr>
    </w:p>
    <w:p w:rsidR="00CB6D25" w:rsidRDefault="00CB6D25">
      <w:pPr>
        <w:rPr>
          <w:rFonts w:ascii="Times New Roman" w:hAnsi="Times New Roman" w:cs="Times New Roman"/>
          <w:sz w:val="20"/>
          <w:szCs w:val="20"/>
        </w:rPr>
      </w:pPr>
    </w:p>
    <w:p w:rsidR="00CB6D25" w:rsidRPr="00CB6D25" w:rsidRDefault="00CB6D25" w:rsidP="006364D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CB6D25" w:rsidRPr="00CB6D25" w:rsidSect="0081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F96" w:rsidRDefault="00793F96" w:rsidP="00810D01">
      <w:r>
        <w:separator/>
      </w:r>
    </w:p>
  </w:endnote>
  <w:endnote w:type="continuationSeparator" w:id="0">
    <w:p w:rsidR="00793F96" w:rsidRDefault="00793F96" w:rsidP="0081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F96" w:rsidRDefault="00793F96" w:rsidP="00810D01">
      <w:r>
        <w:separator/>
      </w:r>
    </w:p>
  </w:footnote>
  <w:footnote w:type="continuationSeparator" w:id="0">
    <w:p w:rsidR="00793F96" w:rsidRDefault="00793F96" w:rsidP="0081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0572"/>
    <w:multiLevelType w:val="hybridMultilevel"/>
    <w:tmpl w:val="9962E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B7709"/>
    <w:multiLevelType w:val="hybridMultilevel"/>
    <w:tmpl w:val="9962E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2563"/>
    <w:multiLevelType w:val="hybridMultilevel"/>
    <w:tmpl w:val="9962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0641">
    <w:abstractNumId w:val="2"/>
  </w:num>
  <w:num w:numId="2" w16cid:durableId="302733860">
    <w:abstractNumId w:val="0"/>
  </w:num>
  <w:num w:numId="3" w16cid:durableId="197875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28"/>
    <w:rsid w:val="00067ACF"/>
    <w:rsid w:val="00253949"/>
    <w:rsid w:val="004F6E1F"/>
    <w:rsid w:val="0062690D"/>
    <w:rsid w:val="006364D8"/>
    <w:rsid w:val="00665328"/>
    <w:rsid w:val="00793F96"/>
    <w:rsid w:val="00810D01"/>
    <w:rsid w:val="00815AB7"/>
    <w:rsid w:val="00CB0098"/>
    <w:rsid w:val="00CB6D25"/>
    <w:rsid w:val="00D348F9"/>
    <w:rsid w:val="00D7102C"/>
    <w:rsid w:val="00E040C2"/>
    <w:rsid w:val="00E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851F4"/>
  <w15:chartTrackingRefBased/>
  <w15:docId w15:val="{6032AC0E-2C5E-5D44-B5AD-9F7F20EB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rl">
    <w:name w:val="url"/>
    <w:basedOn w:val="DefaultParagraphFont"/>
    <w:rsid w:val="00665328"/>
  </w:style>
  <w:style w:type="table" w:styleId="TableGrid">
    <w:name w:val="Table Grid"/>
    <w:basedOn w:val="TableNormal"/>
    <w:uiPriority w:val="39"/>
    <w:rsid w:val="0066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D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6D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D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D01"/>
  </w:style>
  <w:style w:type="paragraph" w:styleId="Footer">
    <w:name w:val="footer"/>
    <w:basedOn w:val="Normal"/>
    <w:link w:val="FooterChar"/>
    <w:uiPriority w:val="99"/>
    <w:unhideWhenUsed/>
    <w:rsid w:val="00810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Kierein</dc:creator>
  <cp:keywords/>
  <dc:description/>
  <cp:lastModifiedBy>Molly Kierein</cp:lastModifiedBy>
  <cp:revision>5</cp:revision>
  <dcterms:created xsi:type="dcterms:W3CDTF">2024-06-30T09:08:00Z</dcterms:created>
  <dcterms:modified xsi:type="dcterms:W3CDTF">2024-06-30T10:41:00Z</dcterms:modified>
</cp:coreProperties>
</file>